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DC0" w:rsidRPr="009A2A8B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9A2A8B">
        <w:rPr>
          <w:rFonts w:asciiTheme="majorHAnsi" w:hAnsiTheme="majorHAnsi"/>
          <w:b/>
          <w:sz w:val="24"/>
          <w:szCs w:val="24"/>
        </w:rPr>
        <w:t>Directions:</w:t>
      </w:r>
    </w:p>
    <w:p w:rsidR="002D2DC0" w:rsidRPr="009A2A8B" w:rsidRDefault="002D2DC0" w:rsidP="002D2DC0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9A2A8B">
        <w:rPr>
          <w:rFonts w:ascii="Times New Roman" w:hAnsi="Times New Roman" w:cs="Times New Roman"/>
          <w:b/>
          <w:lang w:val="en"/>
        </w:rPr>
        <w:t xml:space="preserve">Choose </w:t>
      </w:r>
      <w:r w:rsidRPr="009A2A8B">
        <w:rPr>
          <w:rFonts w:ascii="Times New Roman" w:hAnsi="Times New Roman" w:cs="Times New Roman"/>
          <w:b/>
          <w:u w:val="single"/>
          <w:lang w:val="en"/>
        </w:rPr>
        <w:t>one</w:t>
      </w:r>
      <w:r w:rsidRPr="009A2A8B">
        <w:rPr>
          <w:rFonts w:ascii="Times New Roman" w:hAnsi="Times New Roman" w:cs="Times New Roman"/>
          <w:b/>
          <w:lang w:val="en"/>
        </w:rPr>
        <w:t xml:space="preserve"> </w:t>
      </w:r>
      <w:r w:rsidRPr="009A2A8B">
        <w:rPr>
          <w:rFonts w:ascii="Times New Roman" w:hAnsi="Times New Roman" w:cs="Times New Roman"/>
          <w:b/>
          <w:lang w:val="en"/>
        </w:rPr>
        <w:t xml:space="preserve">image/portrait </w:t>
      </w:r>
      <w:r w:rsidRPr="009A2A8B">
        <w:rPr>
          <w:rFonts w:ascii="Times New Roman" w:hAnsi="Times New Roman" w:cs="Times New Roman"/>
          <w:b/>
          <w:lang w:val="en"/>
        </w:rPr>
        <w:t>in this packet and using the prompts below evaluate what they what the drawings/paintings</w:t>
      </w:r>
      <w:r w:rsidRPr="009A2A8B">
        <w:rPr>
          <w:rFonts w:ascii="Times New Roman" w:hAnsi="Times New Roman" w:cs="Times New Roman"/>
          <w:b/>
          <w:lang w:val="en"/>
        </w:rPr>
        <w:t xml:space="preserve"> </w:t>
      </w:r>
      <w:r w:rsidRPr="009A2A8B">
        <w:rPr>
          <w:rFonts w:ascii="Times New Roman" w:hAnsi="Times New Roman" w:cs="Times New Roman"/>
          <w:b/>
          <w:lang w:val="en"/>
        </w:rPr>
        <w:t xml:space="preserve">reveal </w:t>
      </w:r>
      <w:r w:rsidRPr="009A2A8B">
        <w:rPr>
          <w:rFonts w:ascii="Times New Roman" w:hAnsi="Times New Roman" w:cs="Times New Roman"/>
          <w:b/>
          <w:lang w:val="en"/>
        </w:rPr>
        <w:t>about the personalities, achievements, and life experiences of the individuals</w:t>
      </w:r>
      <w:r w:rsidRPr="009A2A8B">
        <w:rPr>
          <w:rFonts w:ascii="Times New Roman" w:hAnsi="Times New Roman" w:cs="Times New Roman"/>
          <w:b/>
          <w:lang w:val="en"/>
        </w:rPr>
        <w:t xml:space="preserve"> on a piece of paper</w:t>
      </w:r>
      <w:r w:rsidRPr="009A2A8B">
        <w:rPr>
          <w:rFonts w:ascii="Times New Roman" w:hAnsi="Times New Roman" w:cs="Times New Roman"/>
          <w:b/>
          <w:lang w:val="en"/>
        </w:rPr>
        <w:t>.</w:t>
      </w:r>
      <w:r w:rsidRPr="009A2A8B">
        <w:rPr>
          <w:rFonts w:ascii="Times New Roman" w:hAnsi="Times New Roman" w:cs="Times New Roman"/>
          <w:b/>
          <w:lang w:val="en"/>
        </w:rPr>
        <w:t xml:space="preserve">  Make sure to identify which portrait you are analyzing.  </w:t>
      </w:r>
    </w:p>
    <w:p w:rsidR="002D2DC0" w:rsidRPr="009A2A8B" w:rsidRDefault="002D2DC0" w:rsidP="002D2DC0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9A2A8B">
        <w:rPr>
          <w:rFonts w:ascii="Times New Roman" w:hAnsi="Times New Roman" w:cs="Times New Roman"/>
          <w:lang w:val="en"/>
        </w:rPr>
        <w:t>Think about how these portraits</w:t>
      </w:r>
      <w:r w:rsidRPr="009A2A8B">
        <w:rPr>
          <w:rFonts w:ascii="Times New Roman" w:hAnsi="Times New Roman" w:cs="Times New Roman"/>
          <w:lang w:val="en"/>
        </w:rPr>
        <w:t xml:space="preserve"> use unconventional composition and how body language and adornment express personality and identity.  </w:t>
      </w:r>
      <w:r w:rsidRPr="009A2A8B">
        <w:rPr>
          <w:rFonts w:ascii="Times New Roman" w:hAnsi="Times New Roman" w:cs="Times New Roman"/>
          <w:lang w:val="en"/>
        </w:rPr>
        <w:t>A</w:t>
      </w:r>
      <w:r w:rsidRPr="009A2A8B">
        <w:rPr>
          <w:rFonts w:ascii="Times New Roman" w:hAnsi="Times New Roman" w:cs="Times New Roman"/>
          <w:lang w:val="en"/>
        </w:rPr>
        <w:t>lso explore cultural ornamentation in analyzin</w:t>
      </w:r>
      <w:bookmarkStart w:id="0" w:name="_GoBack"/>
      <w:bookmarkEnd w:id="0"/>
      <w:r w:rsidRPr="009A2A8B">
        <w:rPr>
          <w:rFonts w:ascii="Times New Roman" w:hAnsi="Times New Roman" w:cs="Times New Roman"/>
          <w:lang w:val="en"/>
        </w:rPr>
        <w:t>g clothing and adornments of various cultures and time periods</w:t>
      </w:r>
      <w:r w:rsidR="009A2A8B" w:rsidRPr="009A2A8B">
        <w:rPr>
          <w:rFonts w:ascii="Times New Roman" w:hAnsi="Times New Roman" w:cs="Times New Roman"/>
          <w:lang w:val="en"/>
        </w:rPr>
        <w:t>.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Facial Expression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What do the eyes and mouth reveal about the person/people in the painting?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Pose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What does the position of the body reveal about person/people?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Gesture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What do the hands, feet, arms, or legs reveal about the person/people?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Clothing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What type of clothing is each person wearing (dressy, casual, work clothes)?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What does the clothing reveal about the person/people in the painting?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Point of View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Where was the artist standing when he, she painted this?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What do you see that makes you say that?</w:t>
      </w:r>
      <w:r>
        <w:rPr>
          <w:rFonts w:asciiTheme="majorHAnsi" w:hAnsiTheme="majorHAnsi"/>
          <w:sz w:val="24"/>
          <w:szCs w:val="24"/>
        </w:rPr>
        <w:br/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Environment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What do all the things around the person reveal? (</w:t>
      </w:r>
      <w:proofErr w:type="gramStart"/>
      <w:r>
        <w:rPr>
          <w:rFonts w:asciiTheme="majorHAnsi" w:hAnsiTheme="majorHAnsi"/>
          <w:sz w:val="24"/>
          <w:szCs w:val="24"/>
        </w:rPr>
        <w:t>setting</w:t>
      </w:r>
      <w:proofErr w:type="gramEnd"/>
      <w:r>
        <w:rPr>
          <w:rFonts w:asciiTheme="majorHAnsi" w:hAnsiTheme="majorHAnsi"/>
          <w:sz w:val="24"/>
          <w:szCs w:val="24"/>
        </w:rPr>
        <w:t>, background, props)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What is the location for the portrait?  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Why do you think the artist included certain objects in the painting?</w:t>
      </w:r>
      <w:r>
        <w:rPr>
          <w:rFonts w:asciiTheme="majorHAnsi" w:hAnsiTheme="majorHAnsi"/>
          <w:sz w:val="24"/>
          <w:szCs w:val="24"/>
        </w:rPr>
        <w:br/>
      </w:r>
      <w:r>
        <w:rPr>
          <w:rFonts w:asciiTheme="majorHAnsi" w:hAnsiTheme="majorHAnsi"/>
          <w:sz w:val="24"/>
          <w:szCs w:val="24"/>
        </w:rPr>
        <w:tab/>
        <w:t>What does the location of objects say about their importance?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What time period do you think is being shown?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Feelings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What is the person feeling?  What do you see that makes you say that?</w:t>
      </w:r>
    </w:p>
    <w:p w:rsidR="002D2DC0" w:rsidRDefault="002D2DC0" w:rsidP="002D2DC0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If there is more than one person in the portrait, what are the relationships between the people?</w:t>
      </w:r>
    </w:p>
    <w:p w:rsidR="002D2DC0" w:rsidRDefault="002D2DC0" w:rsidP="002D2DC0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are the relationships between the artist and the sitter?</w:t>
      </w:r>
    </w:p>
    <w:p w:rsidR="002D2DC0" w:rsidRDefault="002D2DC0" w:rsidP="002D2DC0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do you see that makes you say that?</w:t>
      </w: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2D2DC0" w:rsidRDefault="002D2DC0" w:rsidP="002D2DC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Elements of Art</w:t>
      </w:r>
    </w:p>
    <w:p w:rsidR="002D2DC0" w:rsidRPr="00D93567" w:rsidRDefault="002D2DC0" w:rsidP="002D2DC0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How does each element of art – color, line, shape, texture, space, value – contribute to the artist’s message about the person in the portrait?</w:t>
      </w:r>
    </w:p>
    <w:p w:rsidR="002D2DC0" w:rsidRPr="00D93567" w:rsidRDefault="002D2DC0" w:rsidP="002D2DC0">
      <w:pPr>
        <w:spacing w:after="0" w:line="240" w:lineRule="auto"/>
        <w:ind w:left="720"/>
        <w:rPr>
          <w:rFonts w:asciiTheme="majorHAnsi" w:hAnsiTheme="majorHAnsi"/>
          <w:sz w:val="24"/>
          <w:szCs w:val="24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  <w:sectPr w:rsidR="002D2DC0" w:rsidSect="002D2DC0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Paul Gauguin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i/>
          <w:iCs/>
          <w:color w:val="000000"/>
          <w:sz w:val="17"/>
          <w:szCs w:val="17"/>
        </w:rPr>
        <w:t xml:space="preserve">Portrait of the Artist with the Idol, </w:t>
      </w:r>
      <w:r>
        <w:rPr>
          <w:rFonts w:ascii="Arial" w:hAnsi="Arial" w:cs="Arial"/>
          <w:b/>
          <w:bCs/>
          <w:color w:val="000000"/>
          <w:sz w:val="17"/>
          <w:szCs w:val="17"/>
        </w:rPr>
        <w:t>ca. 1893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Like many artists, the Post- Impressionist Paul Gauguin painted or sketched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himself many times </w:t>
      </w:r>
      <w:r>
        <w:rPr>
          <w:rFonts w:ascii="Arial" w:hAnsi="Arial" w:cs="Arial"/>
          <w:color w:val="000000"/>
          <w:sz w:val="17"/>
          <w:szCs w:val="17"/>
        </w:rPr>
        <w:t>in this three-quarter view, b</w:t>
      </w:r>
      <w:r>
        <w:rPr>
          <w:rFonts w:ascii="Arial" w:hAnsi="Arial" w:cs="Arial"/>
          <w:color w:val="000000"/>
          <w:sz w:val="17"/>
          <w:szCs w:val="17"/>
        </w:rPr>
        <w:t>ut with varying light sources. His</w:t>
      </w:r>
      <w:r>
        <w:rPr>
          <w:rFonts w:ascii="Arial" w:hAnsi="Arial" w:cs="Arial"/>
          <w:color w:val="000000"/>
          <w:sz w:val="17"/>
          <w:szCs w:val="17"/>
        </w:rPr>
        <w:t xml:space="preserve"> e</w:t>
      </w:r>
      <w:r>
        <w:rPr>
          <w:rFonts w:ascii="Arial" w:hAnsi="Arial" w:cs="Arial"/>
          <w:color w:val="000000"/>
          <w:sz w:val="17"/>
          <w:szCs w:val="17"/>
        </w:rPr>
        <w:t>xpression with a knitted brow and chin resting in an awkwardly drawn right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hand show him as thoughtful and stern. Gauguin often included an object from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his surroundings in his self-portraits. During his first trip to Tahiti, Gauguin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studied ancient Polynesian deities with the help of his Tahitian companion,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Tehamana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. The figure behind the artist is the goddess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Hina</w:t>
      </w:r>
      <w:proofErr w:type="spellEnd"/>
      <w:r>
        <w:rPr>
          <w:rFonts w:ascii="Arial" w:hAnsi="Arial" w:cs="Arial"/>
          <w:color w:val="000000"/>
          <w:sz w:val="17"/>
          <w:szCs w:val="17"/>
        </w:rPr>
        <w:t>, a symbol of calm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and peace. While Gauguin's clothing suggests a colder climate, the figure in the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painting may be a reference to his first trip to Tahiti in 1891. In August of 1893,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Gauguin returned to France.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562519CA" wp14:editId="685B4501">
            <wp:extent cx="2795964" cy="3741420"/>
            <wp:effectExtent l="0" t="0" r="4445" b="0"/>
            <wp:docPr id="4" name="Picture 4" descr="http://media-cache-ec0.pinimg.com/736x/c8/04/19/c8041963c1f0f09b3ca67b43f4be5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-cache-ec0.pinimg.com/736x/c8/04/19/c8041963c1f0f09b3ca67b43f4be58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64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lastRenderedPageBreak/>
        <w:t>Pablo Picasso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i/>
          <w:iCs/>
          <w:color w:val="000000"/>
          <w:sz w:val="17"/>
          <w:szCs w:val="17"/>
        </w:rPr>
        <w:t xml:space="preserve">Woman with Plumed Hat, </w:t>
      </w:r>
      <w:r>
        <w:rPr>
          <w:rFonts w:ascii="Arial" w:hAnsi="Arial" w:cs="Arial"/>
          <w:b/>
          <w:bCs/>
          <w:color w:val="000000"/>
          <w:sz w:val="17"/>
          <w:szCs w:val="17"/>
        </w:rPr>
        <w:t>1901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Wearing heavy make-up and a hat with a flower or feather, Picasso's woman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arches her eyebrow at the 19-year-old artist who is painting her. Her face and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earrings contrast with the surrounding black hair and blue background.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Following the tragic suicide of a close friend early in 1901, Picasso began to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paint social outcasts and the poor with cool blue tones, embarking on what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came to be called his Blue Period (1901–1904). Considered an early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experiment with the monochromatic palette </w:t>
      </w:r>
      <w:r>
        <w:rPr>
          <w:rFonts w:ascii="Arial" w:hAnsi="Arial" w:cs="Arial"/>
          <w:color w:val="000000"/>
          <w:sz w:val="17"/>
          <w:szCs w:val="17"/>
        </w:rPr>
        <w:t>a</w:t>
      </w:r>
      <w:r>
        <w:rPr>
          <w:rFonts w:ascii="Arial" w:hAnsi="Arial" w:cs="Arial"/>
          <w:color w:val="000000"/>
          <w:sz w:val="17"/>
          <w:szCs w:val="17"/>
        </w:rPr>
        <w:t>nd firm line of the melancholy Blue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Period, the woman in this painting bears a resemblance to the figure in </w:t>
      </w:r>
      <w:r>
        <w:rPr>
          <w:rFonts w:ascii="Arial" w:hAnsi="Arial" w:cs="Arial"/>
          <w:i/>
          <w:iCs/>
          <w:color w:val="000000"/>
          <w:sz w:val="17"/>
          <w:szCs w:val="17"/>
        </w:rPr>
        <w:t>Woman</w:t>
      </w:r>
      <w:r>
        <w:rPr>
          <w:rFonts w:ascii="Arial" w:hAnsi="Arial" w:cs="Arial"/>
          <w:i/>
          <w:i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i/>
          <w:iCs/>
          <w:color w:val="000000"/>
          <w:sz w:val="17"/>
          <w:szCs w:val="17"/>
        </w:rPr>
        <w:t xml:space="preserve">in Blue </w:t>
      </w:r>
      <w:r>
        <w:rPr>
          <w:rFonts w:ascii="Arial" w:hAnsi="Arial" w:cs="Arial"/>
          <w:color w:val="000000"/>
          <w:sz w:val="17"/>
          <w:szCs w:val="17"/>
        </w:rPr>
        <w:t>of the same year. By 1905, Picasso moved on to painting less austere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subjects in pinks and grays, a period called his Rose </w:t>
      </w:r>
      <w:r>
        <w:rPr>
          <w:rFonts w:ascii="Arial" w:hAnsi="Arial" w:cs="Arial"/>
          <w:color w:val="000000"/>
          <w:sz w:val="17"/>
          <w:szCs w:val="17"/>
        </w:rPr>
        <w:t>P</w:t>
      </w:r>
      <w:r>
        <w:rPr>
          <w:rFonts w:ascii="Arial" w:hAnsi="Arial" w:cs="Arial"/>
          <w:color w:val="000000"/>
          <w:sz w:val="17"/>
          <w:szCs w:val="17"/>
        </w:rPr>
        <w:t>eriod.</w:t>
      </w:r>
      <w:r>
        <w:rPr>
          <w:rFonts w:ascii="Arial" w:hAnsi="Arial" w:cs="Arial"/>
          <w:color w:val="000000"/>
          <w:sz w:val="17"/>
          <w:szCs w:val="17"/>
        </w:rPr>
        <w:br/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1073236A" wp14:editId="2C224A23">
            <wp:extent cx="3103149" cy="3817620"/>
            <wp:effectExtent l="0" t="0" r="2540" b="0"/>
            <wp:docPr id="3" name="Picture 3" descr="http://media-cache-ec0.pinimg.com/736x/ad/c1/da/adc1da2c4a39fe6c139db6d44b4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-cache-ec0.pinimg.com/736x/ad/c1/da/adc1da2c4a39fe6c139db6d44b4427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49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  <w:sectPr w:rsidR="001F63A2" w:rsidSect="002D2DC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  <w:sectPr w:rsidR="001F63A2" w:rsidSect="001F63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Ernest Ludwig Kirchner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i/>
          <w:iCs/>
          <w:color w:val="000000"/>
          <w:sz w:val="17"/>
          <w:szCs w:val="17"/>
        </w:rPr>
        <w:t xml:space="preserve">Portrait of Hans Frisch, </w:t>
      </w:r>
      <w:r>
        <w:rPr>
          <w:rFonts w:ascii="Arial" w:hAnsi="Arial" w:cs="Arial"/>
          <w:b/>
          <w:bCs/>
          <w:color w:val="000000"/>
          <w:sz w:val="17"/>
          <w:szCs w:val="17"/>
        </w:rPr>
        <w:t>ca. 1907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Kirchner's portrait of his good friend Hans Frisch shows the Dresden poet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seated on a sofa. His legs are tucked up under </w:t>
      </w:r>
      <w:r>
        <w:rPr>
          <w:rFonts w:ascii="Arial" w:hAnsi="Arial" w:cs="Arial"/>
          <w:color w:val="000000"/>
          <w:sz w:val="17"/>
          <w:szCs w:val="17"/>
        </w:rPr>
        <w:t>h</w:t>
      </w:r>
      <w:r>
        <w:rPr>
          <w:rFonts w:ascii="Arial" w:hAnsi="Arial" w:cs="Arial"/>
          <w:color w:val="000000"/>
          <w:sz w:val="17"/>
          <w:szCs w:val="17"/>
        </w:rPr>
        <w:t>im, with his right hand resting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on his calf, while his left hand holds a cigar or cigarette to his mouth. His suit is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painted in blues and blacks, with bright pink outlines and under-painting. The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cushions and forms of the sofa are painted in yellow, as are his hand and face,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with splashes of red, blue and green. The area behind the sofa on the left is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painted in dark blue with two muddy colored stripes with red dots. On the right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above his head and in the center are the green leaves of a plant; the leaves on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the right are outlined in red and highlighted with blue.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The paint surface indicates Kirchner used not only a brush, but also thick oil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colors squeezed from the tube or spread on with a palette knife. It is, perhaps,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the most thickly painted of Kirchner's canvases.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4F2E4E5D" wp14:editId="3E8137FA">
            <wp:extent cx="2945034" cy="2522220"/>
            <wp:effectExtent l="0" t="0" r="8255" b="0"/>
            <wp:docPr id="8" name="Picture 8" descr="http://www.the-athenaeum.org/art/display_image.php?id=46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he-athenaeum.org/art/display_image.php?id=46146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8"/>
                    <a:stretch/>
                  </pic:blipFill>
                  <pic:spPr bwMode="auto">
                    <a:xfrm>
                      <a:off x="0" y="0"/>
                      <a:ext cx="2945034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Henri Matisse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i/>
          <w:iCs/>
          <w:color w:val="000000"/>
          <w:sz w:val="17"/>
          <w:szCs w:val="17"/>
        </w:rPr>
        <w:t>The Red Blouse</w:t>
      </w:r>
      <w:r>
        <w:rPr>
          <w:rFonts w:ascii="Arial" w:hAnsi="Arial" w:cs="Arial"/>
          <w:b/>
          <w:bCs/>
          <w:color w:val="000000"/>
          <w:sz w:val="17"/>
          <w:szCs w:val="17"/>
        </w:rPr>
        <w:t>, 1936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Lydia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Delektorskaya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sits in a black armchair, wearing a brown skirt, a ruffled red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blouse, a necklace, a bracelet, and a watch. Behind the chair is a mirror that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reflects the back of the chair and the face of the artist, Matisse, who was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painting her portrait. The lines of Lydia’s face attest to Matisse’s skill in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capturing a likeness through the simplest drawing. Matisse’s green beard,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mauve glasses, and bright pink shirt are reminders of his experiments with flat,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vibrant colors in 1905-07. Because his colors seemed garish at the time, critics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called them Fauve, which means “wild beast” in French.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Delektorskaya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became the artist’s model, assistant, and companion. Born in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Siberia, she lost her parents in the typhoid and cholera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epidemcs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of the 1920s.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She arrived in France as a refugee, alone, not knowing a word of French. The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young Russian modeled for Matisse in 1932. In 1933, she served as a nurse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and companion for his wife; she remained with Matisse after his separation from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his wife until his death in 1954.</w:t>
      </w: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>
            <wp:extent cx="2308225" cy="3215640"/>
            <wp:effectExtent l="0" t="0" r="0" b="3810"/>
            <wp:docPr id="9" name="Picture 9" descr="http://media-cache-ec0.pinimg.com/736x/2d/ec/52/2dec5263196c3d12987a4a270dc9c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-cache-ec0.pinimg.com/736x/2d/ec/52/2dec5263196c3d12987a4a270dc9cb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  <w:sectPr w:rsidR="001F63A2" w:rsidSect="001F63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Pablo Picasso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i/>
          <w:iCs/>
          <w:color w:val="000000"/>
          <w:sz w:val="17"/>
          <w:szCs w:val="17"/>
        </w:rPr>
        <w:t xml:space="preserve">Portrait of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7"/>
          <w:szCs w:val="17"/>
        </w:rPr>
        <w:t>Sylvette</w:t>
      </w:r>
      <w:proofErr w:type="spellEnd"/>
      <w:r>
        <w:rPr>
          <w:rFonts w:ascii="Arial" w:hAnsi="Arial" w:cs="Arial"/>
          <w:b/>
          <w:bCs/>
          <w:color w:val="000000"/>
          <w:sz w:val="17"/>
          <w:szCs w:val="17"/>
        </w:rPr>
        <w:t>, 1954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In this portrait, 21-year-old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Sylvette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sits quietly in a rocking chair with her hands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in her lap. In the spring of 1954, Picasso </w:t>
      </w:r>
      <w:r>
        <w:rPr>
          <w:rFonts w:ascii="Arial" w:hAnsi="Arial" w:cs="Arial"/>
          <w:color w:val="000000"/>
          <w:sz w:val="17"/>
          <w:szCs w:val="17"/>
        </w:rPr>
        <w:t>m</w:t>
      </w:r>
      <w:r>
        <w:rPr>
          <w:rFonts w:ascii="Arial" w:hAnsi="Arial" w:cs="Arial"/>
          <w:color w:val="000000"/>
          <w:sz w:val="17"/>
          <w:szCs w:val="17"/>
        </w:rPr>
        <w:t>ade 40 drawings and paintings of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Sylvette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David, the beautiful, blonde daughter of a Paris art dealer. She came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to the south of France to visit her fiancé, who lived and worked across the road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from the 74-year-old artist's house. A few of </w:t>
      </w:r>
      <w:r>
        <w:rPr>
          <w:rFonts w:ascii="Arial" w:hAnsi="Arial" w:cs="Arial"/>
          <w:color w:val="000000"/>
          <w:sz w:val="17"/>
          <w:szCs w:val="17"/>
        </w:rPr>
        <w:t>P</w:t>
      </w:r>
      <w:r>
        <w:rPr>
          <w:rFonts w:ascii="Arial" w:hAnsi="Arial" w:cs="Arial"/>
          <w:color w:val="000000"/>
          <w:sz w:val="17"/>
          <w:szCs w:val="17"/>
        </w:rPr>
        <w:t>icasso's images of her were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realistic and in color. Picasso painted the portrait in a style related to the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analytic phase of Cubism (1909–1912), with a fragmented geometric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composition in restrained colors. The last of his painted portraits of her was the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most realistic. He also made Cubist-inspired sculptures of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Sylvette</w:t>
      </w:r>
      <w:proofErr w:type="spellEnd"/>
      <w:r>
        <w:rPr>
          <w:rFonts w:ascii="Arial" w:hAnsi="Arial" w:cs="Arial"/>
          <w:color w:val="000000"/>
          <w:sz w:val="17"/>
          <w:szCs w:val="17"/>
        </w:rPr>
        <w:t>. To see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other Picasso paintings of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Sylvette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David, log on to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hyperlink r:id="rId14" w:history="1">
        <w:r w:rsidRPr="00BF2048">
          <w:rPr>
            <w:rStyle w:val="Hyperlink"/>
            <w:rFonts w:ascii="Arial" w:hAnsi="Arial" w:cs="Arial"/>
            <w:sz w:val="17"/>
            <w:szCs w:val="17"/>
          </w:rPr>
          <w:t>http://www.tamu.edu/mocl/picasso/gallery/w54.html</w:t>
        </w:r>
      </w:hyperlink>
      <w:r>
        <w:rPr>
          <w:rFonts w:ascii="Arial" w:hAnsi="Arial" w:cs="Arial"/>
          <w:color w:val="000000"/>
          <w:sz w:val="17"/>
          <w:szCs w:val="17"/>
        </w:rPr>
        <w:t>.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5A8650" wp14:editId="32DF7CBC">
            <wp:simplePos x="0" y="0"/>
            <wp:positionH relativeFrom="column">
              <wp:posOffset>175260</wp:posOffset>
            </wp:positionH>
            <wp:positionV relativeFrom="paragraph">
              <wp:posOffset>76835</wp:posOffset>
            </wp:positionV>
            <wp:extent cx="2625725" cy="3200400"/>
            <wp:effectExtent l="0" t="0" r="3175" b="0"/>
            <wp:wrapTight wrapText="bothSides">
              <wp:wrapPolygon edited="0">
                <wp:start x="0" y="0"/>
                <wp:lineTo x="0" y="21471"/>
                <wp:lineTo x="21469" y="21471"/>
                <wp:lineTo x="21469" y="0"/>
                <wp:lineTo x="0" y="0"/>
              </wp:wrapPolygon>
            </wp:wrapTight>
            <wp:docPr id="10" name="Picture 10" descr="http://danrgoddard.com/wp-content/uploads/2010/01/1973.36-Picasso-Slic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anrgoddard.com/wp-content/uploads/2010/01/1973.36-Picasso-Slick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3"/>
                    <a:stretch/>
                  </pic:blipFill>
                  <pic:spPr bwMode="auto">
                    <a:xfrm>
                      <a:off x="0" y="0"/>
                      <a:ext cx="2625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3A2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 wp14:anchorId="75039AD8" wp14:editId="2658588A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655445" cy="1409700"/>
            <wp:effectExtent l="0" t="0" r="1905" b="0"/>
            <wp:wrapTight wrapText="bothSides">
              <wp:wrapPolygon edited="0">
                <wp:start x="0" y="0"/>
                <wp:lineTo x="0" y="21308"/>
                <wp:lineTo x="21376" y="21308"/>
                <wp:lineTo x="21376" y="0"/>
                <wp:lineTo x="0" y="0"/>
              </wp:wrapPolygon>
            </wp:wrapTight>
            <wp:docPr id="12" name="Picture 12" descr="http://tinatarnoff.typepad.com/.a/6a00e55378e8898834011571956709970b-pi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inatarnoff.typepad.com/.a/6a00e55378e8898834011571956709970b-pi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3A2" w:rsidRPr="001F63A2">
        <w:rPr>
          <w:noProof/>
          <w:color w:val="0000FF"/>
        </w:rPr>
        <w:t xml:space="preserve"> </w:t>
      </w:r>
      <w:r w:rsidR="001F63A2" w:rsidRPr="001F63A2">
        <w:t xml:space="preserve"> 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 wp14:anchorId="491E5B1B" wp14:editId="2C9A05F5">
            <wp:simplePos x="0" y="0"/>
            <wp:positionH relativeFrom="column">
              <wp:posOffset>-1755140</wp:posOffset>
            </wp:positionH>
            <wp:positionV relativeFrom="paragraph">
              <wp:posOffset>116205</wp:posOffset>
            </wp:positionV>
            <wp:extent cx="1661160" cy="1734820"/>
            <wp:effectExtent l="0" t="0" r="0" b="0"/>
            <wp:wrapTight wrapText="bothSides">
              <wp:wrapPolygon edited="0">
                <wp:start x="0" y="0"/>
                <wp:lineTo x="0" y="21347"/>
                <wp:lineTo x="21303" y="21347"/>
                <wp:lineTo x="21303" y="0"/>
                <wp:lineTo x="0" y="0"/>
              </wp:wrapPolygon>
            </wp:wrapTight>
            <wp:docPr id="11" name="irc_mi" descr="http://3.bp.blogspot.com/-0ctuRSOV0sM/TtmciNaXRRI/AAAAAAAAyHE/fJG7ilikCnA/s400/Pablo%2BPicasso%2B%2528Spanish%2Bartist%252C%2B1881%25E2%2580%25931973%2529%2B1954%2BSylvette%2BDavid%2B%2528Lydia%2BCorbett%252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0ctuRSOV0sM/TtmciNaXRRI/AAAAAAAAyHE/fJG7ilikCnA/s400/Pablo%2BPicasso%2B%2528Spanish%2Bartist%252C%2B1881%25E2%2580%25931973%2529%2B1954%2BSylvette%2BDavid%2B%2528Lydia%2BCorbett%2529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B</w:t>
      </w:r>
      <w:r w:rsidR="001F63A2">
        <w:rPr>
          <w:rFonts w:ascii="Arial" w:hAnsi="Arial" w:cs="Arial"/>
          <w:b/>
          <w:bCs/>
          <w:color w:val="000000"/>
          <w:sz w:val="17"/>
          <w:szCs w:val="17"/>
        </w:rPr>
        <w:t>en Shahn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i/>
          <w:iCs/>
          <w:color w:val="000000"/>
          <w:sz w:val="17"/>
          <w:szCs w:val="17"/>
        </w:rPr>
        <w:t>Sing Sorrow</w:t>
      </w:r>
      <w:r>
        <w:rPr>
          <w:rFonts w:ascii="Arial" w:hAnsi="Arial" w:cs="Arial"/>
          <w:b/>
          <w:bCs/>
          <w:color w:val="000000"/>
          <w:sz w:val="17"/>
          <w:szCs w:val="17"/>
        </w:rPr>
        <w:t>, 1946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Subdued colors combined with the guitar player's expression and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gesture give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this painting a melancholy tone. The high-tension wires and a blinking railroad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signal hint that the setting is a railroad crossing. </w:t>
      </w:r>
      <w:r>
        <w:rPr>
          <w:rFonts w:ascii="Arial" w:hAnsi="Arial" w:cs="Arial"/>
          <w:i/>
          <w:iCs/>
          <w:color w:val="000000"/>
          <w:sz w:val="17"/>
          <w:szCs w:val="17"/>
        </w:rPr>
        <w:t xml:space="preserve">Sing Sorrow </w:t>
      </w:r>
      <w:r>
        <w:rPr>
          <w:rFonts w:ascii="Arial" w:hAnsi="Arial" w:cs="Arial"/>
          <w:color w:val="000000"/>
          <w:sz w:val="17"/>
          <w:szCs w:val="17"/>
        </w:rPr>
        <w:t>expresses the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grief many Americans felt following the death of President Franklin Delano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Roosevelt in April of 1945. The guitar player mourns as the train carrying the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President's casket passes through on its way to Roosevelt's burial site in Hyde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Park, New York. Ben Shahn made a drawing of a man with a banjo watching the funeral train, and later translated the drawing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into this painting. Throughout Shahn's career, his main emphasis was on social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and political issues reflecting class struggle and hardship. As a painter,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photographer, illustrator, writer, and teacher, he presented compelling images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in paintings, murals, prints, and posters, and allowed viewers to formulate their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own conclusions and opinions.</w:t>
      </w: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848A2" wp14:editId="37A73E80">
            <wp:simplePos x="0" y="0"/>
            <wp:positionH relativeFrom="column">
              <wp:posOffset>1112520</wp:posOffset>
            </wp:positionH>
            <wp:positionV relativeFrom="paragraph">
              <wp:posOffset>99695</wp:posOffset>
            </wp:positionV>
            <wp:extent cx="3825240" cy="2566670"/>
            <wp:effectExtent l="0" t="0" r="3810" b="5080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13" name="Picture 13" descr="http://www.mcnaytrc.org/images/Sing_Sorrow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cnaytrc.org/images/Sing_Sorrow_lar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3A2" w:rsidRDefault="001F63A2" w:rsidP="002D2D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17"/>
        </w:rPr>
      </w:pPr>
    </w:p>
    <w:p w:rsidR="001F63A2" w:rsidRDefault="001F63A2" w:rsidP="002D2D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2D2DC0" w:rsidRDefault="002D2DC0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Natalia </w:t>
      </w:r>
      <w:proofErr w:type="spellStart"/>
      <w:r>
        <w:rPr>
          <w:rFonts w:ascii="Arial" w:hAnsi="Arial" w:cs="Arial"/>
          <w:b/>
          <w:bCs/>
          <w:color w:val="000000"/>
          <w:sz w:val="17"/>
          <w:szCs w:val="17"/>
        </w:rPr>
        <w:t>Gontcharova</w:t>
      </w:r>
      <w:proofErr w:type="spellEnd"/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i/>
          <w:iCs/>
          <w:color w:val="000000"/>
          <w:sz w:val="17"/>
          <w:szCs w:val="17"/>
        </w:rPr>
        <w:t xml:space="preserve">Spanish Dancer, </w:t>
      </w:r>
      <w:r>
        <w:rPr>
          <w:rFonts w:ascii="Arial" w:hAnsi="Arial" w:cs="Arial"/>
          <w:b/>
          <w:bCs/>
          <w:color w:val="000000"/>
          <w:sz w:val="17"/>
          <w:szCs w:val="17"/>
        </w:rPr>
        <w:t>1916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Moved by Spain's rich visual traditions on a visit in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1916, the Russian artist Natalia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Gontcharova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was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enthralled by Spanish women in their magnificent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mantillas. </w:t>
      </w:r>
      <w:proofErr w:type="spellStart"/>
      <w:r>
        <w:rPr>
          <w:rFonts w:ascii="Arial" w:hAnsi="Arial" w:cs="Arial"/>
          <w:i/>
          <w:iCs/>
          <w:color w:val="000000"/>
          <w:sz w:val="17"/>
          <w:szCs w:val="17"/>
        </w:rPr>
        <w:t>Espagnoles</w:t>
      </w:r>
      <w:proofErr w:type="spellEnd"/>
      <w:r>
        <w:rPr>
          <w:rFonts w:ascii="Arial" w:hAnsi="Arial" w:cs="Arial"/>
          <w:i/>
          <w:iCs/>
          <w:color w:val="000000"/>
          <w:sz w:val="17"/>
          <w:szCs w:val="17"/>
        </w:rPr>
        <w:t xml:space="preserve">, </w:t>
      </w:r>
      <w:r>
        <w:rPr>
          <w:rFonts w:ascii="Arial" w:hAnsi="Arial" w:cs="Arial"/>
          <w:color w:val="000000"/>
          <w:sz w:val="17"/>
          <w:szCs w:val="17"/>
        </w:rPr>
        <w:t>or Spanish dancers, inspired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about a dozen works by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Gontcharova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.  </w:t>
      </w:r>
      <w:r>
        <w:rPr>
          <w:rFonts w:ascii="Arial" w:hAnsi="Arial" w:cs="Arial"/>
          <w:color w:val="000000"/>
          <w:sz w:val="17"/>
          <w:szCs w:val="17"/>
        </w:rPr>
        <w:t xml:space="preserve">Some of her </w:t>
      </w:r>
      <w:proofErr w:type="spellStart"/>
      <w:r>
        <w:rPr>
          <w:rFonts w:ascii="Arial" w:hAnsi="Arial" w:cs="Arial"/>
          <w:i/>
          <w:iCs/>
          <w:color w:val="000000"/>
          <w:sz w:val="17"/>
          <w:szCs w:val="17"/>
        </w:rPr>
        <w:t>Espagnoles</w:t>
      </w:r>
      <w:proofErr w:type="spellEnd"/>
      <w:r>
        <w:rPr>
          <w:rFonts w:ascii="Arial" w:hAnsi="Arial" w:cs="Arial"/>
          <w:i/>
          <w:iCs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are more figurative than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others, but all are similarly stylized, abstract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presentations. A diligent artist for whom preparation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 xml:space="preserve">and research played an integral part, </w:t>
      </w:r>
      <w:proofErr w:type="spellStart"/>
      <w:r>
        <w:rPr>
          <w:rFonts w:ascii="Arial" w:hAnsi="Arial" w:cs="Arial"/>
          <w:color w:val="000000"/>
          <w:sz w:val="17"/>
          <w:szCs w:val="17"/>
        </w:rPr>
        <w:t>Gontcharova</w:t>
      </w:r>
      <w:proofErr w:type="spellEnd"/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produced designs for two Spanish ballets, although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neither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was ever st</w:t>
      </w:r>
      <w:r>
        <w:rPr>
          <w:rFonts w:ascii="Arial" w:hAnsi="Arial" w:cs="Arial"/>
          <w:color w:val="000000"/>
          <w:sz w:val="17"/>
          <w:szCs w:val="17"/>
        </w:rPr>
        <w:t xml:space="preserve">aged. In her collage shown, </w:t>
      </w:r>
      <w:r>
        <w:rPr>
          <w:rFonts w:ascii="Arial" w:hAnsi="Arial" w:cs="Arial"/>
          <w:color w:val="000000"/>
          <w:sz w:val="17"/>
          <w:szCs w:val="17"/>
        </w:rPr>
        <w:t>twisted paper and overlapping materials show the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sculptural qualities created when a dancer's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movements animate her costume, and evoke feelings of lively passion and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</w:rPr>
        <w:t>movement.</w:t>
      </w:r>
    </w:p>
    <w:p w:rsidR="001F63A2" w:rsidRDefault="001F63A2" w:rsidP="001F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</w:p>
    <w:p w:rsidR="002D2DC0" w:rsidRDefault="002D2DC0" w:rsidP="002D2D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1424940" cy="3108091"/>
            <wp:effectExtent l="0" t="0" r="3810" b="0"/>
            <wp:docPr id="14" name="Picture 14" descr="https://d1ycxz9plii3tb.cloudfront.net/additional_images/4fe2317848420a00010000f9/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1ycxz9plii3tb.cloudfront.net/additional_images/4fe2317848420a00010000f9/mediu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10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DC0" w:rsidSect="001F63A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DC0" w:rsidRDefault="002D2DC0" w:rsidP="002D2DC0">
      <w:pPr>
        <w:spacing w:after="0" w:line="240" w:lineRule="auto"/>
      </w:pPr>
      <w:r>
        <w:separator/>
      </w:r>
    </w:p>
  </w:endnote>
  <w:endnote w:type="continuationSeparator" w:id="0">
    <w:p w:rsidR="002D2DC0" w:rsidRDefault="002D2DC0" w:rsidP="002D2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DC0" w:rsidRDefault="002D2DC0" w:rsidP="002D2DC0">
      <w:pPr>
        <w:spacing w:after="0" w:line="240" w:lineRule="auto"/>
      </w:pPr>
      <w:r>
        <w:separator/>
      </w:r>
    </w:p>
  </w:footnote>
  <w:footnote w:type="continuationSeparator" w:id="0">
    <w:p w:rsidR="002D2DC0" w:rsidRDefault="002D2DC0" w:rsidP="002D2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19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035"/>
      <w:gridCol w:w="1975"/>
    </w:tblGrid>
    <w:tr w:rsidR="002D2DC0" w:rsidTr="002D2DC0">
      <w:trPr>
        <w:trHeight w:val="297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1F75CE8C271E4A54A2AD2EA6D735D2C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8035" w:type="dxa"/>
            </w:tcPr>
            <w:p w:rsidR="002D2DC0" w:rsidRDefault="002D2DC0" w:rsidP="002D2DC0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How to Read a Portrait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D98F8948E75B4081BDD82088C9A36869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975" w:type="dxa"/>
            </w:tcPr>
            <w:p w:rsidR="002D2DC0" w:rsidRDefault="002D2DC0" w:rsidP="002D2DC0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Drawing 1</w:t>
              </w:r>
            </w:p>
          </w:tc>
        </w:sdtContent>
      </w:sdt>
    </w:tr>
  </w:tbl>
  <w:p w:rsidR="002D2DC0" w:rsidRDefault="002D2D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D5B69"/>
    <w:multiLevelType w:val="hybridMultilevel"/>
    <w:tmpl w:val="9D5ED090"/>
    <w:lvl w:ilvl="0" w:tplc="DB246D2C">
      <w:start w:val="1"/>
      <w:numFmt w:val="decimal"/>
      <w:lvlText w:val="%1.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D05E9"/>
    <w:multiLevelType w:val="hybridMultilevel"/>
    <w:tmpl w:val="ECA280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3A2"/>
    <w:rsid w:val="001F63A2"/>
    <w:rsid w:val="002D2DC0"/>
    <w:rsid w:val="005D5F75"/>
    <w:rsid w:val="009A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63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3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2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DC0"/>
  </w:style>
  <w:style w:type="paragraph" w:styleId="Footer">
    <w:name w:val="footer"/>
    <w:basedOn w:val="Normal"/>
    <w:link w:val="FooterChar"/>
    <w:uiPriority w:val="99"/>
    <w:unhideWhenUsed/>
    <w:rsid w:val="002D2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DC0"/>
  </w:style>
  <w:style w:type="paragraph" w:styleId="ListParagraph">
    <w:name w:val="List Paragraph"/>
    <w:basedOn w:val="Normal"/>
    <w:uiPriority w:val="34"/>
    <w:qFormat/>
    <w:rsid w:val="002D2D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63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3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2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DC0"/>
  </w:style>
  <w:style w:type="paragraph" w:styleId="Footer">
    <w:name w:val="footer"/>
    <w:basedOn w:val="Normal"/>
    <w:link w:val="FooterChar"/>
    <w:uiPriority w:val="99"/>
    <w:unhideWhenUsed/>
    <w:rsid w:val="002D2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DC0"/>
  </w:style>
  <w:style w:type="paragraph" w:styleId="ListParagraph">
    <w:name w:val="List Paragraph"/>
    <w:basedOn w:val="Normal"/>
    <w:uiPriority w:val="34"/>
    <w:qFormat/>
    <w:rsid w:val="002D2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google.com/url?sa=i&amp;source=images&amp;cd=&amp;cad=rja&amp;uact=8&amp;ved=0CAgQjRw&amp;url=http%3A%2F%2Ftinatarnoff.typepad.com%2Fthought_patterns%2F2009%2F06%2Fpicasso-sylvette-and-bardot.html&amp;ei=MMVXVODNHIyeyASvv4HwCg&amp;psig=AFQjCNGqx1f9EfzU7udeBTCjTVOt4dohCw&amp;ust=141512465656805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google.com/url?sa=i&amp;source=images&amp;cd=&amp;cad=rja&amp;uact=8&amp;ved=0CAgQjRw4Qg&amp;url=http://bjws.blogspot.com/2011/06/evolution-of-womens-portraits-by.html&amp;ei=DMVXVP6PBMyuyASG0IG4DQ&amp;psig=AFQjCNHPUDTsR4SvBEgQW8v-FXnpiUWVeQ&amp;ust=1415124620159356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tamu.edu/mocl/picasso/gallery/w54.html" TargetMode="External"/><Relationship Id="rId22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F75CE8C271E4A54A2AD2EA6D735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1147C-51A0-4D4D-A83E-01DD4BB9F81F}"/>
      </w:docPartPr>
      <w:docPartBody>
        <w:p w:rsidR="00000000" w:rsidRDefault="003B13BE" w:rsidP="003B13BE">
          <w:pPr>
            <w:pStyle w:val="1F75CE8C271E4A54A2AD2EA6D735D2C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D98F8948E75B4081BDD82088C9A36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DC174-0A4B-41F3-A1CF-5A77E052D65D}"/>
      </w:docPartPr>
      <w:docPartBody>
        <w:p w:rsidR="00000000" w:rsidRDefault="003B13BE" w:rsidP="003B13BE">
          <w:pPr>
            <w:pStyle w:val="D98F8948E75B4081BDD82088C9A3686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3BE"/>
    <w:rsid w:val="003B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75CE8C271E4A54A2AD2EA6D735D2C8">
    <w:name w:val="1F75CE8C271E4A54A2AD2EA6D735D2C8"/>
    <w:rsid w:val="003B13BE"/>
  </w:style>
  <w:style w:type="paragraph" w:customStyle="1" w:styleId="D98F8948E75B4081BDD82088C9A36869">
    <w:name w:val="D98F8948E75B4081BDD82088C9A36869"/>
    <w:rsid w:val="003B13B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75CE8C271E4A54A2AD2EA6D735D2C8">
    <w:name w:val="1F75CE8C271E4A54A2AD2EA6D735D2C8"/>
    <w:rsid w:val="003B13BE"/>
  </w:style>
  <w:style w:type="paragraph" w:customStyle="1" w:styleId="D98F8948E75B4081BDD82088C9A36869">
    <w:name w:val="D98F8948E75B4081BDD82088C9A36869"/>
    <w:rsid w:val="003B13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Drawing 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Read a Portrait</dc:title>
  <dc:creator>Swader, Heather</dc:creator>
  <cp:lastModifiedBy>Swader, Heather</cp:lastModifiedBy>
  <cp:revision>1</cp:revision>
  <dcterms:created xsi:type="dcterms:W3CDTF">2014-11-03T17:58:00Z</dcterms:created>
  <dcterms:modified xsi:type="dcterms:W3CDTF">2014-11-03T18:25:00Z</dcterms:modified>
</cp:coreProperties>
</file>